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 Use</w:t>
      </w:r>
    </w:p>
    <w:p w:rsidR="00000000" w:rsidDel="00000000" w:rsidP="00000000" w:rsidRDefault="00000000" w:rsidRPr="00000000" w14:paraId="00000003">
      <w:pPr>
        <w:widowControl w:val="0"/>
        <w:spacing w:before="90" w:lineRule="auto"/>
        <w:ind w:right="3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6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Portfolio Assessment Sheet</w:t>
      </w:r>
    </w:p>
    <w:tbl>
      <w:tblPr>
        <w:tblStyle w:val="Table1"/>
        <w:tblW w:w="14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5"/>
        <w:gridCol w:w="3297"/>
        <w:gridCol w:w="3298"/>
        <w:gridCol w:w="3298"/>
        <w:tblGridChange w:id="0">
          <w:tblGrid>
            <w:gridCol w:w="4495"/>
            <w:gridCol w:w="3297"/>
            <w:gridCol w:w="3298"/>
            <w:gridCol w:w="3298"/>
          </w:tblGrid>
        </w:tblGridChange>
      </w:tblGrid>
      <w:tr>
        <w:trPr>
          <w:cantSplit w:val="0"/>
          <w:tblHeader w:val="0"/>
        </w:trPr>
        <w:tc>
          <w:tcPr>
            <w:shd w:fill="4bacc6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Qualification Title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4bacc6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Unit reference &amp; Title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4bacc6" w:val="clea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Unique Learner Number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4bacc6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Portfolio Assessment Decision 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Approved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Denied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Unable to Determine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4bacc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a6a6a6"/>
                <w:sz w:val="28"/>
                <w:szCs w:val="28"/>
                <w:rtl w:val="0"/>
              </w:rPr>
              <w:t xml:space="preserve">Followed up Needed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right="9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Grading Criteria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24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540"/>
        <w:gridCol w:w="4200"/>
        <w:gridCol w:w="1605"/>
        <w:gridCol w:w="5895"/>
        <w:tblGridChange w:id="0">
          <w:tblGrid>
            <w:gridCol w:w="2820"/>
            <w:gridCol w:w="540"/>
            <w:gridCol w:w="4200"/>
            <w:gridCol w:w="1605"/>
            <w:gridCol w:w="5895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Learning Outcome 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Assessment Criterion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Pass/Refer 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Assessor comments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92d050" w:val="clea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50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the role of management of human resources.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Critically justify the importance of human resource management in organizations.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 the role and purpose of the strategic human resource management function and activities in an organization.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Evaluate how human resource management is related to other functional areas.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92d050" w:val="clea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ind w:left="50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 able to create a human resource plan for an organisation.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 the business factors to consider before human resource planning.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Determine human resource requirements in different organisational contexts.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 a human resource plan for an organization.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92d050" w:val="clea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ind w:left="50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the role of legal and ethical issues in developing human resources policy.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Explain the purpose of human resource policy.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 the impact of regulatory and legal requirements on human resource policies in an organization.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 the impact of business ethics, CSR, and sustainability requirements on human resource policies for an organization.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92d050" w:val="clea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ind w:left="50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 able to plan and develop human resource strategies.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Critically analyze the impact of an organisational strategy, structure and culture on the management of human resources.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 a structured, relevant and comprehensive HR strategy.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Critically monitor the effectiveness of human resources management.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92d050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ind w:left="501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HRM approaches within organizations and their relationships with organizational performance.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Critically evaluate the relationships between business strategy and human resource management.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Explain the implementation and measurement of HR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approaches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relevant metrics.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92d050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 and evaluate a human resource strategy that supports organisational mission, vision, values and objectives.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line="360" w:lineRule="auto"/>
        <w:jc w:val="left"/>
        <w:rPr>
          <w:b w:val="1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1906" w:w="16838" w:orient="landscape"/>
          <w:pgMar w:bottom="1100" w:top="1220" w:left="1100" w:right="1340" w:header="691.2" w:footer="921.599999999999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Overall Comments </w:t>
      </w:r>
    </w:p>
    <w:p w:rsidR="00000000" w:rsidDel="00000000" w:rsidP="00000000" w:rsidRDefault="00000000" w:rsidRPr="00000000" w14:paraId="0000007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5190"/>
        <w:tblGridChange w:id="0">
          <w:tblGrid>
            <w:gridCol w:w="477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Reason 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Evidence is inadequate </w:t>
            </w:r>
          </w:p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Narrative is too brief</w:t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Evidence does not support knowledge of topics in course description </w:t>
            </w:r>
          </w:p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Narrative is poorly written </w:t>
            </w:r>
          </w:p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It is not clear how the knowledge was acquired </w:t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Evidence supports only a limited portion of the course content </w:t>
            </w:r>
          </w:p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Student's knowledge lacks the breath of the course </w:t>
            </w:r>
          </w:p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Student's Documentation is weak </w:t>
            </w:r>
          </w:p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Other </w:t>
            </w:r>
          </w:p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6630"/>
        <w:tblGridChange w:id="0">
          <w:tblGrid>
            <w:gridCol w:w="3375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Assessor Name:     </w:t>
            </w:r>
          </w:p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Assessor’s Signature </w:t>
            </w:r>
          </w:p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d5b5" w:val="clear"/>
          </w:tcPr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tabs>
          <w:tab w:val="left" w:pos="919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pos="919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11" w:type="default"/>
          <w:headerReference r:id="rId12" w:type="first"/>
          <w:type w:val="continuous"/>
          <w:pgSz w:h="16838" w:w="11906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5"/>
        <w:gridCol w:w="1080"/>
        <w:gridCol w:w="962"/>
        <w:gridCol w:w="554"/>
        <w:gridCol w:w="346"/>
        <w:gridCol w:w="1108"/>
        <w:gridCol w:w="1002"/>
        <w:gridCol w:w="405"/>
        <w:gridCol w:w="675"/>
        <w:gridCol w:w="1125"/>
        <w:tblGridChange w:id="0">
          <w:tblGrid>
            <w:gridCol w:w="2695"/>
            <w:gridCol w:w="1080"/>
            <w:gridCol w:w="962"/>
            <w:gridCol w:w="554"/>
            <w:gridCol w:w="346"/>
            <w:gridCol w:w="1108"/>
            <w:gridCol w:w="1002"/>
            <w:gridCol w:w="405"/>
            <w:gridCol w:w="675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 VERIFICATION FOR QALITY ASSURANCE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Programme title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Assessor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IVQA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reference &amp; Name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tabs>
                <w:tab w:val="left" w:pos="2430"/>
                <w:tab w:val="left" w:pos="5760"/>
              </w:tabs>
              <w:spacing w:line="240" w:lineRule="auto"/>
              <w:ind w:right="15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Learner name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Learner Registration ID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Original Grading Award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Merit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Distinction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57.0" w:type="dxa"/>
              <w:bottom w:w="85.0" w:type="dxa"/>
              <w:right w:w="57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CHECKLIST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Yes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Learner has confirmed the authenticity of the evidence?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Assessor confirmed the authenticity of the evidence?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 has been assessed accurately?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Assessor has given feedback to each assessment criteria?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Feedback justify each assessment criterion awarded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Agree with Original assessment decision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1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Assessor signature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IQA Signature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Lead IQA Signature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(if Applied)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25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25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Confirm action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Remedial action taken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25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Assessor signature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IQA Signature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5.0" w:type="dxa"/>
              <w:left w:w="57.0" w:type="dxa"/>
              <w:bottom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Lead IQA Signature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52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34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Student Use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jc w:val="center"/>
      <w:rPr/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Website: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</w:t>
    </w:r>
    <w:hyperlink r:id="rId1"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www.b-tic.uk</w:t>
      </w:r>
    </w:hyperlink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                 </w:t>
    </w: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E-Mail: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</w:t>
    </w:r>
    <w:hyperlink r:id="rId2"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info@b-tic.uk</w:t>
      </w:r>
    </w:hyperlink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             </w:t>
    </w: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Hotline: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+447472345331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jc w:val="center"/>
      <w:rPr/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Website: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</w:t>
    </w:r>
    <w:hyperlink r:id="rId1"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www.b-tic.uk</w:t>
      </w:r>
    </w:hyperlink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                 </w:t>
    </w: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E-Mail: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</w:t>
    </w:r>
    <w:hyperlink r:id="rId2"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info@b-tic.uk</w:t>
      </w:r>
    </w:hyperlink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              </w:t>
    </w: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Hotline:</w:t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+447472345331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3262313</wp:posOffset>
              </wp:positionH>
              <wp:positionV relativeFrom="page">
                <wp:posOffset>271463</wp:posOffset>
              </wp:positionV>
              <wp:extent cx="4808220" cy="39624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Credit Transfer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3262313</wp:posOffset>
              </wp:positionH>
              <wp:positionV relativeFrom="page">
                <wp:posOffset>271463</wp:posOffset>
              </wp:positionV>
              <wp:extent cx="4808220" cy="39624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5233988</wp:posOffset>
          </wp:positionH>
          <wp:positionV relativeFrom="paragraph">
            <wp:posOffset>-290511</wp:posOffset>
          </wp:positionV>
          <wp:extent cx="1178357" cy="604838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8357" cy="604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3500438</wp:posOffset>
              </wp:positionH>
              <wp:positionV relativeFrom="page">
                <wp:posOffset>204788</wp:posOffset>
              </wp:positionV>
              <wp:extent cx="4808220" cy="39624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Prior Learning Assessment and Recognition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3500438</wp:posOffset>
              </wp:positionH>
              <wp:positionV relativeFrom="page">
                <wp:posOffset>204788</wp:posOffset>
              </wp:positionV>
              <wp:extent cx="4808220" cy="39624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8496300</wp:posOffset>
          </wp:positionH>
          <wp:positionV relativeFrom="paragraph">
            <wp:posOffset>-276224</wp:posOffset>
          </wp:positionV>
          <wp:extent cx="1121739" cy="573913"/>
          <wp:effectExtent b="0" l="0" r="0" t="0"/>
          <wp:wrapNone/>
          <wp:docPr id="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739" cy="57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8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3508375</wp:posOffset>
              </wp:positionH>
              <wp:positionV relativeFrom="page">
                <wp:posOffset>315087</wp:posOffset>
              </wp:positionV>
              <wp:extent cx="4808220" cy="39624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Prior Learning Assessment and Recognition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3508375</wp:posOffset>
              </wp:positionH>
              <wp:positionV relativeFrom="page">
                <wp:posOffset>315087</wp:posOffset>
              </wp:positionV>
              <wp:extent cx="4808220" cy="396240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-304799</wp:posOffset>
          </wp:positionV>
          <wp:extent cx="1109663" cy="569578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5695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3">
    <w:lvl w:ilvl="0">
      <w:start w:val="1"/>
      <w:numFmt w:val="decimal"/>
      <w:lvlText w:val="3.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1.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4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363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3633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3633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633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36331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F18F7"/>
    <w:pPr>
      <w:ind w:left="720"/>
      <w:contextualSpacing w:val="1"/>
    </w:pPr>
  </w:style>
  <w:style w:type="paragraph" w:styleId="Default" w:customStyle="1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styleId="aff6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"/>
    <w:tblPr>
      <w:tblStyleRowBandSize w:val="1"/>
      <w:tblStyleColBandSize w:val="1"/>
      <w:tblInd w:w="0.0" w:type="dxa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aff8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2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3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4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B343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 w:val="1"/>
    <w:rsid w:val="00CB343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3430"/>
  </w:style>
  <w:style w:type="table" w:styleId="TableGrid1" w:customStyle="1">
    <w:name w:val="Table Grid1"/>
    <w:basedOn w:val="TableNormal"/>
    <w:next w:val="TableGrid"/>
    <w:uiPriority w:val="59"/>
    <w:rsid w:val="0022473D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footer" Target="footer1.xml"/><Relationship Id="rId12" Type="http://schemas.openxmlformats.org/officeDocument/2006/relationships/header" Target="head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-tic.uk" TargetMode="External"/><Relationship Id="rId2" Type="http://schemas.openxmlformats.org/officeDocument/2006/relationships/hyperlink" Target="mailto:info@b-tic.u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b-tic.uk" TargetMode="External"/><Relationship Id="rId2" Type="http://schemas.openxmlformats.org/officeDocument/2006/relationships/hyperlink" Target="mailto:info@b-tic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7JYgTT6HYTXwHTJAjetTo9qcnQ==">AMUW2mWxCuuV7TVqZUgp1YE5xK7OmG+9ZiNBoO+Rl4d2Vu0jjZ3lCZD5yugT/Ya7jJVxtdbhqw9zbZERUb3SCRJuhLXLm1Qmz0cGVhayURAiJpNvaL6oooICtRaM7/YDrMpR6xZPcKUS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2022-02-24T18:28:00Z</dcterms:created>
  <dc:creator>Techmira Computer sy</dc:creator>
</cp:coreProperties>
</file>